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DC" w:rsidRDefault="00EC731C" w:rsidP="00DA2586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“</w:t>
      </w:r>
      <w:bookmarkStart w:id="0" w:name="OLE_LINK4"/>
      <w:r>
        <w:rPr>
          <w:rFonts w:ascii="仿宋_GB2312" w:eastAsia="仿宋_GB2312" w:hAnsi="仿宋_GB2312" w:cs="仿宋_GB2312" w:hint="eastAsia"/>
          <w:b/>
          <w:sz w:val="28"/>
          <w:szCs w:val="28"/>
        </w:rPr>
        <w:t>屏障与安全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：云南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生态文明区域建设的理论与实践</w:t>
      </w:r>
      <w:bookmarkEnd w:id="0"/>
      <w:r>
        <w:rPr>
          <w:rFonts w:ascii="仿宋_GB2312" w:eastAsia="仿宋_GB2312" w:hAnsi="仿宋_GB2312" w:cs="仿宋_GB2312" w:hint="eastAsia"/>
          <w:b/>
          <w:sz w:val="28"/>
          <w:szCs w:val="28"/>
        </w:rPr>
        <w:t>”高端学术论坛</w:t>
      </w:r>
    </w:p>
    <w:p w:rsidR="00F76FDC" w:rsidRDefault="00EC731C" w:rsidP="00DA2586">
      <w:pPr>
        <w:spacing w:beforeLines="50" w:before="156" w:afterLines="50" w:after="156"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一号公告</w:t>
      </w:r>
    </w:p>
    <w:p w:rsidR="00F76FDC" w:rsidRDefault="00EC731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bookmarkStart w:id="1" w:name="_GoBack"/>
      <w:r>
        <w:rPr>
          <w:rFonts w:ascii="仿宋_GB2312" w:eastAsia="仿宋_GB2312" w:hAnsi="仿宋_GB2312" w:cs="仿宋_GB2312" w:hint="eastAsia"/>
          <w:sz w:val="24"/>
        </w:rPr>
        <w:t>生态文明建设</w:t>
      </w:r>
      <w:r>
        <w:rPr>
          <w:rFonts w:ascii="仿宋_GB2312" w:eastAsia="仿宋_GB2312" w:hAnsi="仿宋_GB2312" w:cs="仿宋_GB2312" w:hint="eastAsia"/>
          <w:sz w:val="24"/>
        </w:rPr>
        <w:t>是</w:t>
      </w:r>
      <w:r>
        <w:rPr>
          <w:rFonts w:ascii="仿宋_GB2312" w:eastAsia="仿宋_GB2312" w:hAnsi="仿宋_GB2312" w:cs="仿宋_GB2312" w:hint="eastAsia"/>
          <w:sz w:val="24"/>
        </w:rPr>
        <w:t>党和国家的重大战略任务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关系人民福祉、关乎民族未来，是促进人与自然、人与人、人与社会和谐共生、良性循环、全面发展和持续繁荣的关键保障。云南省地处我国西南边疆，是中国—东盟自由贸易区建设和大湄公河次区域合作的前沿</w:t>
      </w:r>
      <w:bookmarkStart w:id="2" w:name="OLE_LINK1"/>
      <w:r>
        <w:rPr>
          <w:rFonts w:ascii="仿宋_GB2312" w:eastAsia="仿宋_GB2312" w:hAnsi="仿宋_GB2312" w:cs="仿宋_GB2312" w:hint="eastAsia"/>
          <w:sz w:val="24"/>
        </w:rPr>
        <w:t>，</w:t>
      </w:r>
      <w:bookmarkEnd w:id="2"/>
      <w:r>
        <w:rPr>
          <w:rFonts w:ascii="仿宋_GB2312" w:eastAsia="仿宋_GB2312" w:hAnsi="仿宋_GB2312" w:cs="仿宋_GB2312" w:hint="eastAsia"/>
          <w:sz w:val="24"/>
        </w:rPr>
        <w:t>“一带一路”战略建设的区域合作高地，</w:t>
      </w:r>
      <w:r>
        <w:rPr>
          <w:rFonts w:ascii="仿宋_GB2312" w:eastAsia="仿宋_GB2312" w:hAnsi="仿宋_GB2312" w:cs="仿宋_GB2312" w:hint="eastAsia"/>
          <w:sz w:val="24"/>
        </w:rPr>
        <w:t>也</w:t>
      </w:r>
      <w:r>
        <w:rPr>
          <w:rFonts w:ascii="仿宋_GB2312" w:eastAsia="仿宋_GB2312" w:hAnsi="仿宋_GB2312" w:cs="仿宋_GB2312" w:hint="eastAsia"/>
          <w:sz w:val="24"/>
        </w:rPr>
        <w:t>是国家物种资源宝库和生态屏障</w:t>
      </w:r>
      <w:r>
        <w:rPr>
          <w:rFonts w:ascii="仿宋_GB2312" w:eastAsia="仿宋_GB2312" w:hAnsi="仿宋_GB2312" w:cs="仿宋_GB2312" w:hint="eastAsia"/>
          <w:sz w:val="24"/>
        </w:rPr>
        <w:t>的重点建设区</w:t>
      </w:r>
      <w:r>
        <w:rPr>
          <w:rFonts w:ascii="仿宋_GB2312" w:eastAsia="仿宋_GB2312" w:hAnsi="仿宋_GB2312" w:cs="仿宋_GB2312" w:hint="eastAsia"/>
          <w:sz w:val="24"/>
        </w:rPr>
        <w:t>，</w:t>
      </w:r>
      <w:bookmarkStart w:id="3" w:name="OLE_LINK3"/>
      <w:r>
        <w:rPr>
          <w:rFonts w:ascii="仿宋_GB2312" w:eastAsia="仿宋_GB2312" w:hAnsi="仿宋_GB2312" w:cs="仿宋_GB2312" w:hint="eastAsia"/>
          <w:sz w:val="24"/>
        </w:rPr>
        <w:t>在</w:t>
      </w:r>
      <w:r>
        <w:rPr>
          <w:rFonts w:ascii="仿宋_GB2312" w:eastAsia="仿宋_GB2312" w:hAnsi="仿宋_GB2312" w:cs="仿宋_GB2312" w:hint="eastAsia"/>
          <w:sz w:val="24"/>
        </w:rPr>
        <w:t>国家生态安全战略中具有重要地位</w:t>
      </w:r>
      <w:bookmarkEnd w:id="3"/>
      <w:r>
        <w:rPr>
          <w:rFonts w:ascii="仿宋_GB2312" w:eastAsia="仿宋_GB2312" w:hAnsi="仿宋_GB2312" w:cs="仿宋_GB2312" w:hint="eastAsia"/>
          <w:sz w:val="24"/>
        </w:rPr>
        <w:t>。</w:t>
      </w:r>
    </w:p>
    <w:p w:rsidR="00F76FDC" w:rsidRDefault="00EC731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引领</w:t>
      </w:r>
      <w:r>
        <w:rPr>
          <w:rFonts w:ascii="仿宋_GB2312" w:eastAsia="仿宋_GB2312" w:hAnsi="仿宋_GB2312" w:cs="仿宋_GB2312" w:hint="eastAsia"/>
          <w:sz w:val="24"/>
        </w:rPr>
        <w:t>中国与东南亚生态屏障建设及</w:t>
      </w:r>
      <w:r>
        <w:rPr>
          <w:rFonts w:ascii="仿宋_GB2312" w:eastAsia="仿宋_GB2312" w:hAnsi="仿宋_GB2312" w:cs="仿宋_GB2312" w:hint="eastAsia"/>
          <w:sz w:val="24"/>
        </w:rPr>
        <w:t>生态安全</w:t>
      </w:r>
      <w:r>
        <w:rPr>
          <w:rFonts w:ascii="仿宋_GB2312" w:eastAsia="仿宋_GB2312" w:hAnsi="仿宋_GB2312" w:cs="仿宋_GB2312" w:hint="eastAsia"/>
          <w:sz w:val="24"/>
        </w:rPr>
        <w:t>战略</w:t>
      </w:r>
      <w:r>
        <w:rPr>
          <w:rFonts w:ascii="仿宋_GB2312" w:eastAsia="仿宋_GB2312" w:hAnsi="仿宋_GB2312" w:cs="仿宋_GB2312" w:hint="eastAsia"/>
          <w:sz w:val="24"/>
        </w:rPr>
        <w:t>合作</w:t>
      </w:r>
      <w:r>
        <w:rPr>
          <w:rFonts w:ascii="仿宋_GB2312" w:eastAsia="仿宋_GB2312" w:hAnsi="仿宋_GB2312" w:cs="仿宋_GB2312" w:hint="eastAsia"/>
          <w:sz w:val="24"/>
        </w:rPr>
        <w:t>关系的良性发展，</w:t>
      </w:r>
      <w:bookmarkStart w:id="4" w:name="OLE_LINK5"/>
      <w:r>
        <w:rPr>
          <w:rFonts w:ascii="仿宋_GB2312" w:eastAsia="仿宋_GB2312" w:hAnsi="仿宋_GB2312" w:cs="仿宋_GB2312" w:hint="eastAsia"/>
          <w:sz w:val="24"/>
        </w:rPr>
        <w:t>稳固云南在国家安全体系中的战略地位</w:t>
      </w:r>
      <w:bookmarkEnd w:id="4"/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坚持绿色发展，深入实施“生态立省，环境优先”的生态理念，是云南生态文明建设的重要内容之一。为深入探讨云南生态文明建设理论和实践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研究科学</w:t>
      </w:r>
      <w:r>
        <w:rPr>
          <w:rFonts w:ascii="仿宋_GB2312" w:eastAsia="仿宋_GB2312" w:hAnsi="仿宋_GB2312" w:cs="仿宋_GB2312" w:hint="eastAsia"/>
          <w:sz w:val="24"/>
        </w:rPr>
        <w:t>实现</w:t>
      </w:r>
      <w:r>
        <w:rPr>
          <w:rFonts w:ascii="仿宋_GB2312" w:eastAsia="仿宋_GB2312" w:hAnsi="仿宋_GB2312" w:cs="仿宋_GB2312" w:hint="eastAsia"/>
          <w:sz w:val="24"/>
        </w:rPr>
        <w:t>云南生态文明排头兵建设的总体目标，提升云南大学服务云南现实的整体水平，以创新、和谐、绿色、开放和共享的理念引领云南生态文明建设，云南大学服务云南行动计划“生态文明建设的云南模式研究”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项目</w:t>
      </w:r>
      <w:r>
        <w:rPr>
          <w:rFonts w:ascii="仿宋_GB2312" w:eastAsia="仿宋_GB2312" w:hAnsi="仿宋_GB2312" w:cs="仿宋_GB2312" w:hint="eastAsia"/>
          <w:sz w:val="24"/>
        </w:rPr>
        <w:t>组拟举办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“屏障与安全：云南区域生态文明建设理论与实践”学术研讨会</w:t>
      </w:r>
      <w:r>
        <w:rPr>
          <w:rFonts w:ascii="仿宋_GB2312" w:eastAsia="仿宋_GB2312" w:hAnsi="仿宋_GB2312" w:cs="仿宋_GB2312" w:hint="eastAsia"/>
          <w:sz w:val="24"/>
        </w:rPr>
        <w:t>，围绕云南生态屏障、生态安全建设展开高层次的专业研讨</w:t>
      </w:r>
      <w:r>
        <w:rPr>
          <w:rFonts w:ascii="仿宋_GB2312" w:eastAsia="仿宋_GB2312" w:hAnsi="仿宋_GB2312" w:cs="仿宋_GB2312" w:hint="eastAsia"/>
          <w:sz w:val="24"/>
        </w:rPr>
        <w:t>。诚邀国内外相关领域专家学者</w:t>
      </w:r>
      <w:bookmarkStart w:id="5" w:name="OLE_LINK2"/>
      <w:r>
        <w:rPr>
          <w:rFonts w:ascii="仿宋_GB2312" w:eastAsia="仿宋_GB2312" w:hAnsi="仿宋_GB2312" w:cs="仿宋_GB2312" w:hint="eastAsia"/>
          <w:sz w:val="24"/>
        </w:rPr>
        <w:t>共襄盛举</w:t>
      </w:r>
      <w:bookmarkEnd w:id="5"/>
      <w:r>
        <w:rPr>
          <w:rFonts w:ascii="仿宋_GB2312" w:eastAsia="仿宋_GB2312" w:hAnsi="仿宋_GB2312" w:cs="仿宋_GB2312" w:hint="eastAsia"/>
          <w:sz w:val="24"/>
        </w:rPr>
        <w:t>，为云南生态文明</w:t>
      </w:r>
      <w:r>
        <w:rPr>
          <w:rFonts w:ascii="仿宋_GB2312" w:eastAsia="仿宋_GB2312" w:hAnsi="仿宋_GB2312" w:cs="仿宋_GB2312" w:hint="eastAsia"/>
          <w:sz w:val="24"/>
        </w:rPr>
        <w:t>排头兵</w:t>
      </w:r>
      <w:r>
        <w:rPr>
          <w:rFonts w:ascii="仿宋_GB2312" w:eastAsia="仿宋_GB2312" w:hAnsi="仿宋_GB2312" w:cs="仿宋_GB2312" w:hint="eastAsia"/>
          <w:sz w:val="24"/>
        </w:rPr>
        <w:t>建设建言献策。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bookmarkEnd w:id="1"/>
    <w:p w:rsidR="00F76FDC" w:rsidRDefault="00F76FDC" w:rsidP="00DA2586">
      <w:pPr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DA2586" w:rsidRPr="00DA2586" w:rsidRDefault="00DA2586" w:rsidP="00DA2586">
      <w:pPr>
        <w:spacing w:line="360" w:lineRule="auto"/>
        <w:ind w:left="42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</w:t>
      </w:r>
      <w:r w:rsidR="00EC731C" w:rsidRPr="00DA258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 w:rsidR="00EC731C" w:rsidRPr="00DA258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主题</w:t>
      </w:r>
    </w:p>
    <w:p w:rsidR="00F76FDC" w:rsidRPr="00DA2586" w:rsidRDefault="00EC731C" w:rsidP="00DA2586">
      <w:pPr>
        <w:spacing w:line="360" w:lineRule="auto"/>
        <w:ind w:left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DA258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屏障与安全：云南生态文明区域建设的理论与实践</w:t>
      </w:r>
    </w:p>
    <w:p w:rsidR="00F76FDC" w:rsidRDefault="00EC731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p w:rsidR="00F76FDC" w:rsidRDefault="00EC731C" w:rsidP="00DA2586">
      <w:pPr>
        <w:spacing w:line="360" w:lineRule="auto"/>
        <w:ind w:left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筹备</w:t>
      </w:r>
    </w:p>
    <w:p w:rsidR="00F76FDC" w:rsidRDefault="00EC731C" w:rsidP="00DA2586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主办：</w:t>
      </w:r>
      <w:r>
        <w:rPr>
          <w:rFonts w:ascii="仿宋_GB2312" w:eastAsia="仿宋_GB2312" w:hAnsi="仿宋_GB2312" w:cs="仿宋_GB2312" w:hint="eastAsia"/>
          <w:sz w:val="24"/>
        </w:rPr>
        <w:t>云南大学</w:t>
      </w:r>
    </w:p>
    <w:p w:rsidR="00F76FDC" w:rsidRDefault="00EC731C" w:rsidP="00DA2586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承办：</w:t>
      </w:r>
      <w:r>
        <w:rPr>
          <w:rFonts w:ascii="仿宋_GB2312" w:eastAsia="仿宋_GB2312" w:hAnsi="仿宋_GB2312" w:cs="仿宋_GB2312" w:hint="eastAsia"/>
          <w:sz w:val="24"/>
        </w:rPr>
        <w:t>云南大学服务云南行动计划“生态文明建设的云南模式研究”项目组</w:t>
      </w:r>
    </w:p>
    <w:p w:rsidR="00F76FDC" w:rsidRDefault="00EC731C" w:rsidP="00DA2586">
      <w:pPr>
        <w:spacing w:line="360" w:lineRule="auto"/>
        <w:ind w:firstLineChars="472" w:firstLine="1133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云南大学西南环境史研究所</w:t>
      </w:r>
    </w:p>
    <w:p w:rsidR="00F76FDC" w:rsidRDefault="00EC731C" w:rsidP="00DA2586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协办：</w:t>
      </w:r>
      <w:r>
        <w:rPr>
          <w:rFonts w:ascii="仿宋_GB2312" w:eastAsia="仿宋_GB2312" w:hAnsi="仿宋_GB2312" w:cs="仿宋_GB2312" w:hint="eastAsia"/>
          <w:sz w:val="24"/>
        </w:rPr>
        <w:t>中国科学院昆明分院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云南省林业科学院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科学出版社</w:t>
      </w:r>
    </w:p>
    <w:p w:rsidR="00F76FDC" w:rsidRDefault="00EC731C" w:rsidP="00DA2586">
      <w:pPr>
        <w:spacing w:line="360" w:lineRule="auto"/>
        <w:ind w:firstLineChars="472" w:firstLine="1133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国家林业局昆明勘察设计院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保山市文化广播电视新闻出版局</w:t>
      </w: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EC731C" w:rsidP="00DA2586">
      <w:pPr>
        <w:spacing w:line="360" w:lineRule="auto"/>
        <w:ind w:leftChars="202" w:left="42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规模：</w:t>
      </w:r>
      <w:r>
        <w:rPr>
          <w:rFonts w:ascii="仿宋_GB2312" w:eastAsia="仿宋_GB2312" w:hAnsi="仿宋_GB2312" w:cs="仿宋_GB2312" w:hint="eastAsia"/>
          <w:sz w:val="28"/>
          <w:szCs w:val="28"/>
        </w:rPr>
        <w:t>25-30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EC731C" w:rsidP="00DA2586">
      <w:pPr>
        <w:spacing w:line="360" w:lineRule="auto"/>
        <w:ind w:leftChars="202" w:left="424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时间和地点</w:t>
      </w:r>
    </w:p>
    <w:p w:rsidR="00F76FDC" w:rsidRDefault="00EC731C" w:rsidP="00DA258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、时间：</w:t>
      </w:r>
      <w:r>
        <w:rPr>
          <w:rFonts w:ascii="仿宋_GB2312" w:eastAsia="仿宋_GB2312" w:hAnsi="仿宋_GB2312" w:cs="仿宋_GB2312" w:hint="eastAsia"/>
          <w:sz w:val="24"/>
        </w:rPr>
        <w:t>2016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12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 w:hint="eastAsia"/>
          <w:sz w:val="24"/>
        </w:rPr>
        <w:t>6</w:t>
      </w:r>
      <w:r>
        <w:rPr>
          <w:rFonts w:ascii="仿宋_GB2312" w:eastAsia="仿宋_GB2312" w:hAnsi="仿宋_GB2312" w:cs="仿宋_GB2312" w:hint="eastAsia"/>
          <w:sz w:val="24"/>
        </w:rPr>
        <w:t>日（</w:t>
      </w:r>
      <w:r>
        <w:rPr>
          <w:rFonts w:ascii="仿宋_GB2312" w:eastAsia="仿宋_GB2312" w:hAnsi="仿宋_GB2312" w:cs="仿宋_GB2312" w:hint="eastAsia"/>
          <w:sz w:val="24"/>
        </w:rPr>
        <w:t>12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日报到，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-</w:t>
      </w:r>
      <w:r>
        <w:rPr>
          <w:rFonts w:ascii="仿宋_GB2312" w:eastAsia="仿宋_GB2312" w:hAnsi="仿宋_GB2312" w:cs="仿宋_GB2312" w:hint="eastAsia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日开幕式、大会发言及讨论、闭幕式，</w:t>
      </w:r>
      <w:r>
        <w:rPr>
          <w:rFonts w:ascii="仿宋_GB2312" w:eastAsia="仿宋_GB2312" w:hAnsi="仿宋_GB2312" w:cs="仿宋_GB2312" w:hint="eastAsia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日全天为田野考察，</w:t>
      </w:r>
      <w:r>
        <w:rPr>
          <w:rFonts w:ascii="仿宋_GB2312" w:eastAsia="仿宋_GB2312" w:hAnsi="仿宋_GB2312" w:cs="仿宋_GB2312" w:hint="eastAsia"/>
          <w:sz w:val="24"/>
        </w:rPr>
        <w:t>6</w:t>
      </w:r>
      <w:r>
        <w:rPr>
          <w:rFonts w:ascii="仿宋_GB2312" w:eastAsia="仿宋_GB2312" w:hAnsi="仿宋_GB2312" w:cs="仿宋_GB2312" w:hint="eastAsia"/>
          <w:sz w:val="24"/>
        </w:rPr>
        <w:t>日上午离会）</w:t>
      </w:r>
    </w:p>
    <w:p w:rsidR="00F76FDC" w:rsidRDefault="00EC731C" w:rsidP="00DA258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、地点：云南省腾冲县（具体地点待商定后通知）</w:t>
      </w: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EC731C" w:rsidP="00DA2586">
      <w:pPr>
        <w:spacing w:line="360" w:lineRule="auto"/>
        <w:ind w:leftChars="202" w:left="424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论坛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要求</w:t>
      </w:r>
    </w:p>
    <w:p w:rsidR="00F76FDC" w:rsidRDefault="00EC731C" w:rsidP="00DA258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、倡导以文参会，为保证讨论水准和会后出版论文集的质量，要求提交原创性或未公开发表的学术论文，敬请各位与会代表围绕会议主题撰写论文。</w:t>
      </w:r>
    </w:p>
    <w:p w:rsidR="00F76FDC" w:rsidRDefault="00EC731C" w:rsidP="00DA258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、论文提交时间：</w:t>
      </w:r>
      <w:r>
        <w:rPr>
          <w:rFonts w:ascii="仿宋_GB2312" w:eastAsia="仿宋_GB2312" w:hAnsi="仿宋_GB2312" w:cs="仿宋_GB2312" w:hint="eastAsia"/>
          <w:sz w:val="24"/>
        </w:rPr>
        <w:t>2016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10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25</w:t>
      </w:r>
      <w:r>
        <w:rPr>
          <w:rFonts w:ascii="仿宋_GB2312" w:eastAsia="仿宋_GB2312" w:hAnsi="仿宋_GB2312" w:cs="仿宋_GB2312" w:hint="eastAsia"/>
          <w:sz w:val="24"/>
        </w:rPr>
        <w:t>日前提交参会回执及论文摘要，</w:t>
      </w:r>
      <w:r>
        <w:rPr>
          <w:rFonts w:ascii="仿宋_GB2312" w:eastAsia="仿宋_GB2312" w:hAnsi="仿宋_GB2312" w:cs="仿宋_GB2312" w:hint="eastAsia"/>
          <w:sz w:val="24"/>
        </w:rPr>
        <w:t>11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25</w:t>
      </w:r>
      <w:r>
        <w:rPr>
          <w:rFonts w:ascii="仿宋_GB2312" w:eastAsia="仿宋_GB2312" w:hAnsi="仿宋_GB2312" w:cs="仿宋_GB2312" w:hint="eastAsia"/>
          <w:sz w:val="24"/>
        </w:rPr>
        <w:t>日前提交参会全文。</w:t>
      </w: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EC731C" w:rsidP="00DA2586">
      <w:pPr>
        <w:spacing w:line="360" w:lineRule="auto"/>
        <w:ind w:leftChars="270" w:left="567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费用：</w:t>
      </w:r>
      <w:r>
        <w:rPr>
          <w:rFonts w:ascii="仿宋_GB2312" w:eastAsia="仿宋_GB2312" w:hAnsi="仿宋_GB2312" w:cs="仿宋_GB2312" w:hint="eastAsia"/>
          <w:sz w:val="24"/>
        </w:rPr>
        <w:t>本次会议不收会务费，提交原创论文的与会代表差旅费（交通费、住宿费、伙食费）由会议主办方承担（参会者需向会议主办方提供相应报销凭证）。</w:t>
      </w: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DA2586" w:rsidP="00DA2586">
      <w:pPr>
        <w:spacing w:line="360" w:lineRule="auto"/>
        <w:ind w:leftChars="270" w:left="567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</w:t>
      </w:r>
      <w:r w:rsidR="00EC731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、会务联系</w:t>
      </w:r>
    </w:p>
    <w:p w:rsidR="00F76FDC" w:rsidRDefault="00EC731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联系人：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聂选华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电话：</w:t>
      </w:r>
      <w:r>
        <w:rPr>
          <w:rFonts w:ascii="仿宋_GB2312" w:eastAsia="仿宋_GB2312" w:hAnsi="仿宋_GB2312" w:cs="仿宋_GB2312" w:hint="eastAsia"/>
          <w:sz w:val="24"/>
        </w:rPr>
        <w:t>15198969445</w:t>
      </w:r>
    </w:p>
    <w:p w:rsidR="00F76FDC" w:rsidRDefault="00EC731C" w:rsidP="00DA2586">
      <w:pPr>
        <w:spacing w:line="360" w:lineRule="auto"/>
        <w:ind w:leftChars="742" w:left="1558" w:firstLine="1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袁晓仙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电话：</w:t>
      </w:r>
      <w:r>
        <w:rPr>
          <w:rFonts w:ascii="仿宋_GB2312" w:eastAsia="仿宋_GB2312" w:hAnsi="仿宋_GB2312" w:cs="仿宋_GB2312" w:hint="eastAsia"/>
          <w:sz w:val="24"/>
        </w:rPr>
        <w:t>18725075242</w:t>
      </w:r>
    </w:p>
    <w:p w:rsidR="00F76FDC" w:rsidRDefault="00EC731C" w:rsidP="00DA2586">
      <w:pPr>
        <w:spacing w:line="360" w:lineRule="auto"/>
        <w:ind w:leftChars="742" w:left="1558" w:firstLine="1"/>
        <w:rPr>
          <w:rFonts w:ascii="Times New Roman" w:eastAsia="仿宋_GB2312" w:hAnsi="Times New Roman" w:cs="Times New Roman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胡金莲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电话：</w:t>
      </w:r>
      <w:r>
        <w:rPr>
          <w:rFonts w:ascii="仿宋_GB2312" w:eastAsia="仿宋_GB2312" w:hAnsi="仿宋_GB2312" w:cs="仿宋_GB2312" w:hint="eastAsia"/>
          <w:sz w:val="24"/>
        </w:rPr>
        <w:t>13888329403</w:t>
      </w:r>
    </w:p>
    <w:p w:rsidR="00F76FDC" w:rsidRDefault="00EC731C" w:rsidP="00DA2586">
      <w:pPr>
        <w:spacing w:line="360" w:lineRule="auto"/>
        <w:ind w:leftChars="742" w:left="1558" w:firstLine="1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E-mail: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ynueccr2015</w:t>
      </w:r>
      <w:r>
        <w:rPr>
          <w:rFonts w:ascii="Times New Roman" w:eastAsia="仿宋_GB2312" w:hAnsi="Times New Roman" w:cs="Times New Roman"/>
          <w:sz w:val="24"/>
        </w:rPr>
        <w:t>@1</w:t>
      </w:r>
      <w:r>
        <w:rPr>
          <w:rFonts w:ascii="Times New Roman" w:eastAsia="仿宋_GB2312" w:hAnsi="Times New Roman" w:cs="Times New Roman" w:hint="eastAsia"/>
          <w:sz w:val="24"/>
        </w:rPr>
        <w:t>26</w:t>
      </w:r>
      <w:r>
        <w:rPr>
          <w:rFonts w:ascii="Times New Roman" w:eastAsia="仿宋_GB2312" w:hAnsi="Times New Roman" w:cs="Times New Roman"/>
          <w:sz w:val="24"/>
        </w:rPr>
        <w:t>.com</w:t>
      </w:r>
    </w:p>
    <w:p w:rsidR="00F76FDC" w:rsidRDefault="00F76FDC" w:rsidP="00DA2586">
      <w:pPr>
        <w:rPr>
          <w:rFonts w:ascii="仿宋_GB2312" w:eastAsia="仿宋_GB2312" w:hAnsi="仿宋_GB2312" w:cs="仿宋_GB2312"/>
          <w:sz w:val="24"/>
        </w:rPr>
      </w:pPr>
    </w:p>
    <w:p w:rsidR="00F76FDC" w:rsidRDefault="00F76FDC" w:rsidP="00DA2586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76FDC" w:rsidRDefault="00EC731C">
      <w:pPr>
        <w:spacing w:line="360" w:lineRule="auto"/>
        <w:ind w:firstLineChars="200" w:firstLine="48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云南大学服务云南行动计划“生态文明建设的云南模式研究”项目组</w:t>
      </w:r>
    </w:p>
    <w:p w:rsidR="00F76FDC" w:rsidRDefault="00EC731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云南大学西南环境史研究所</w:t>
      </w:r>
    </w:p>
    <w:p w:rsidR="00F76FDC" w:rsidRDefault="00EC731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云南大学“一带一路”战略研究院</w:t>
      </w:r>
    </w:p>
    <w:p w:rsidR="00F76FDC" w:rsidRDefault="00EC731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2016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31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F76FDC" w:rsidRDefault="00F76FD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p w:rsidR="00F76FDC" w:rsidRDefault="00F76FD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p w:rsidR="00F76FDC" w:rsidRDefault="00F76FD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p w:rsidR="00F76FDC" w:rsidRDefault="00EC731C" w:rsidP="00DA2586">
      <w:pPr>
        <w:spacing w:line="360" w:lineRule="auto"/>
        <w:ind w:left="562" w:hangingChars="200" w:hanging="562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屏障与安全：云南区域生态文明建设理论与实践高端论坛</w:t>
      </w:r>
    </w:p>
    <w:p w:rsidR="00F76FDC" w:rsidRDefault="00EC731C" w:rsidP="00DA2586">
      <w:pPr>
        <w:spacing w:line="360" w:lineRule="auto"/>
        <w:ind w:left="562" w:hangingChars="200" w:hanging="562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回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执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789"/>
        <w:gridCol w:w="445"/>
        <w:gridCol w:w="896"/>
        <w:gridCol w:w="1291"/>
        <w:gridCol w:w="1138"/>
        <w:gridCol w:w="766"/>
        <w:gridCol w:w="296"/>
        <w:gridCol w:w="1013"/>
        <w:gridCol w:w="823"/>
      </w:tblGrid>
      <w:tr w:rsidR="00F76FDC">
        <w:tc>
          <w:tcPr>
            <w:tcW w:w="1065" w:type="dxa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34" w:type="dxa"/>
            <w:gridSpan w:val="2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96" w:type="dxa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291" w:type="dxa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138" w:type="dxa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013" w:type="dxa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823" w:type="dxa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2299" w:type="dxa"/>
            <w:gridSpan w:val="3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325" w:type="dxa"/>
            <w:gridSpan w:val="3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075" w:type="dxa"/>
            <w:gridSpan w:val="3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职务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23" w:type="dxa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632" w:type="dxa"/>
            <w:gridSpan w:val="3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90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132" w:type="dxa"/>
            <w:gridSpan w:val="3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</w:p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论文摘要</w:t>
            </w:r>
          </w:p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200-500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F76FDC" w:rsidRDefault="00F76FD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是否有膳食特殊要求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是否有住宿特殊要求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F76FDC">
        <w:tc>
          <w:tcPr>
            <w:tcW w:w="1854" w:type="dxa"/>
            <w:gridSpan w:val="2"/>
          </w:tcPr>
          <w:p w:rsidR="00F76FDC" w:rsidRDefault="00EC731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668" w:type="dxa"/>
            <w:gridSpan w:val="8"/>
          </w:tcPr>
          <w:p w:rsidR="00F76FDC" w:rsidRDefault="00F76FDC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</w:tbl>
    <w:p w:rsidR="00F76FDC" w:rsidRDefault="00EC731C">
      <w:r>
        <w:rPr>
          <w:rFonts w:ascii="仿宋_GB2312" w:eastAsia="仿宋_GB2312" w:hAnsi="仿宋_GB2312" w:cs="仿宋_GB2312" w:hint="eastAsia"/>
          <w:szCs w:val="21"/>
        </w:rPr>
        <w:t>请您于</w:t>
      </w:r>
      <w:r>
        <w:rPr>
          <w:rFonts w:ascii="仿宋_GB2312" w:eastAsia="仿宋_GB2312" w:hAnsi="仿宋_GB2312" w:cs="仿宋_GB2312" w:hint="eastAsia"/>
          <w:szCs w:val="21"/>
        </w:rPr>
        <w:t>2016</w:t>
      </w:r>
      <w:r>
        <w:rPr>
          <w:rFonts w:ascii="仿宋_GB2312" w:eastAsia="仿宋_GB2312" w:hAnsi="仿宋_GB2312" w:cs="仿宋_GB2312" w:hint="eastAsia"/>
          <w:szCs w:val="21"/>
        </w:rPr>
        <w:t>年</w:t>
      </w:r>
      <w:r>
        <w:rPr>
          <w:rFonts w:ascii="仿宋_GB2312" w:eastAsia="仿宋_GB2312" w:hAnsi="仿宋_GB2312" w:cs="仿宋_GB2312" w:hint="eastAsia"/>
          <w:szCs w:val="21"/>
        </w:rPr>
        <w:t>10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</w:rPr>
        <w:t>25</w:t>
      </w:r>
      <w:r>
        <w:rPr>
          <w:rFonts w:ascii="仿宋_GB2312" w:eastAsia="仿宋_GB2312" w:hAnsi="仿宋_GB2312" w:cs="仿宋_GB2312" w:hint="eastAsia"/>
          <w:szCs w:val="21"/>
        </w:rPr>
        <w:t>日前通过邮政信函或电子邮件寄回会议筹备组联系人，谢谢！</w:t>
      </w:r>
    </w:p>
    <w:p w:rsidR="00F76FDC" w:rsidRDefault="00F76FDC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sectPr w:rsidR="00F76F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1C" w:rsidRDefault="00EC731C">
      <w:r>
        <w:separator/>
      </w:r>
    </w:p>
  </w:endnote>
  <w:endnote w:type="continuationSeparator" w:id="0">
    <w:p w:rsidR="00EC731C" w:rsidRDefault="00EC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C" w:rsidRDefault="00EC73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FDC" w:rsidRDefault="00EC73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A258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76FDC" w:rsidRDefault="00EC73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A2586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1C" w:rsidRDefault="00EC731C">
      <w:r>
        <w:separator/>
      </w:r>
    </w:p>
  </w:footnote>
  <w:footnote w:type="continuationSeparator" w:id="0">
    <w:p w:rsidR="00EC731C" w:rsidRDefault="00EC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A60"/>
    <w:multiLevelType w:val="hybridMultilevel"/>
    <w:tmpl w:val="7EF86072"/>
    <w:lvl w:ilvl="0" w:tplc="C360C3C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6475A38"/>
    <w:multiLevelType w:val="singleLevel"/>
    <w:tmpl w:val="59C2FE9E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_GB2312" w:cs="仿宋_GB2312"/>
      </w:rPr>
    </w:lvl>
  </w:abstractNum>
  <w:abstractNum w:abstractNumId="2">
    <w:nsid w:val="57E8D75E"/>
    <w:multiLevelType w:val="singleLevel"/>
    <w:tmpl w:val="1FB6FD6C"/>
    <w:lvl w:ilvl="0">
      <w:start w:val="1"/>
      <w:numFmt w:val="chineseCounting"/>
      <w:suff w:val="nothing"/>
      <w:lvlText w:val="%1、"/>
      <w:lvlJc w:val="left"/>
      <w:rPr>
        <w:rFonts w:ascii="仿宋_GB2312" w:eastAsia="仿宋_GB2312" w:hAnsi="仿宋_GB2312" w:cs="仿宋_GB231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504A"/>
    <w:rsid w:val="0063263A"/>
    <w:rsid w:val="00DA2586"/>
    <w:rsid w:val="00EC731C"/>
    <w:rsid w:val="00F76FDC"/>
    <w:rsid w:val="01081526"/>
    <w:rsid w:val="01CE0EF5"/>
    <w:rsid w:val="0338480B"/>
    <w:rsid w:val="03756B6B"/>
    <w:rsid w:val="03CC3C16"/>
    <w:rsid w:val="04543B58"/>
    <w:rsid w:val="04E81BE7"/>
    <w:rsid w:val="08793A99"/>
    <w:rsid w:val="0A916DD0"/>
    <w:rsid w:val="0BC3018D"/>
    <w:rsid w:val="0C78504A"/>
    <w:rsid w:val="0D3D69D3"/>
    <w:rsid w:val="0D8E3B3C"/>
    <w:rsid w:val="0DBA339C"/>
    <w:rsid w:val="0F01740B"/>
    <w:rsid w:val="1272583E"/>
    <w:rsid w:val="132A2773"/>
    <w:rsid w:val="14604644"/>
    <w:rsid w:val="15AC1A18"/>
    <w:rsid w:val="16A95CA2"/>
    <w:rsid w:val="18A07C9F"/>
    <w:rsid w:val="1A937C62"/>
    <w:rsid w:val="1EF5188B"/>
    <w:rsid w:val="20F77E67"/>
    <w:rsid w:val="26A9702D"/>
    <w:rsid w:val="298852BE"/>
    <w:rsid w:val="2CEA5090"/>
    <w:rsid w:val="2D9B68D6"/>
    <w:rsid w:val="2DF93C87"/>
    <w:rsid w:val="2E0D6787"/>
    <w:rsid w:val="2FAC7431"/>
    <w:rsid w:val="310C7B83"/>
    <w:rsid w:val="31E139F4"/>
    <w:rsid w:val="32034A4D"/>
    <w:rsid w:val="335306E3"/>
    <w:rsid w:val="34547C15"/>
    <w:rsid w:val="36011A1B"/>
    <w:rsid w:val="36A76220"/>
    <w:rsid w:val="374D1809"/>
    <w:rsid w:val="38735F12"/>
    <w:rsid w:val="3CAB7806"/>
    <w:rsid w:val="3EAD785E"/>
    <w:rsid w:val="3EEA521A"/>
    <w:rsid w:val="3F9D3251"/>
    <w:rsid w:val="3FC8026F"/>
    <w:rsid w:val="419972D2"/>
    <w:rsid w:val="4267445B"/>
    <w:rsid w:val="44E33A69"/>
    <w:rsid w:val="451014B2"/>
    <w:rsid w:val="472D7799"/>
    <w:rsid w:val="48D72188"/>
    <w:rsid w:val="4A854713"/>
    <w:rsid w:val="4AD52AB0"/>
    <w:rsid w:val="4BA32685"/>
    <w:rsid w:val="4C690C7A"/>
    <w:rsid w:val="4E1A6782"/>
    <w:rsid w:val="511F2B21"/>
    <w:rsid w:val="58664D93"/>
    <w:rsid w:val="58893AF0"/>
    <w:rsid w:val="591141E0"/>
    <w:rsid w:val="5AE0515B"/>
    <w:rsid w:val="5AE60BC7"/>
    <w:rsid w:val="5BA257CE"/>
    <w:rsid w:val="5D1D7317"/>
    <w:rsid w:val="60F168E3"/>
    <w:rsid w:val="61027517"/>
    <w:rsid w:val="61973923"/>
    <w:rsid w:val="64422D9F"/>
    <w:rsid w:val="66BF2E0C"/>
    <w:rsid w:val="6D2859C9"/>
    <w:rsid w:val="6E69420A"/>
    <w:rsid w:val="6F220F8D"/>
    <w:rsid w:val="714F5351"/>
    <w:rsid w:val="71926009"/>
    <w:rsid w:val="730D2D78"/>
    <w:rsid w:val="774F5378"/>
    <w:rsid w:val="7BCE4FDE"/>
    <w:rsid w:val="7DF46435"/>
    <w:rsid w:val="7E3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DA25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DA25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SWU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 Jian</cp:lastModifiedBy>
  <cp:revision>2</cp:revision>
  <dcterms:created xsi:type="dcterms:W3CDTF">2016-10-10T00:53:00Z</dcterms:created>
  <dcterms:modified xsi:type="dcterms:W3CDTF">2016-10-10T00:53:00Z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